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D6D" w:rsidRPr="0002794A" w:rsidRDefault="0002794A">
      <w:pPr>
        <w:rPr>
          <w:b/>
          <w:sz w:val="24"/>
          <w:szCs w:val="24"/>
        </w:rPr>
      </w:pPr>
      <w:r w:rsidRPr="0002794A">
        <w:rPr>
          <w:b/>
          <w:sz w:val="24"/>
          <w:szCs w:val="24"/>
        </w:rPr>
        <w:t>Il principio del “ne bis in idem”</w:t>
      </w:r>
    </w:p>
    <w:p w:rsidR="0002794A" w:rsidRDefault="0002794A"/>
    <w:p w:rsidR="00D96F59" w:rsidRDefault="00D96F59" w:rsidP="00D96F59">
      <w:pPr>
        <w:rPr>
          <w:sz w:val="24"/>
          <w:szCs w:val="24"/>
        </w:rPr>
      </w:pPr>
      <w:r w:rsidRPr="00D96F59">
        <w:rPr>
          <w:sz w:val="24"/>
          <w:szCs w:val="24"/>
        </w:rPr>
        <w:t xml:space="preserve">La </w:t>
      </w:r>
      <w:hyperlink r:id="rId5" w:tooltip="Locuzioni latine" w:history="1">
        <w:r w:rsidRPr="00D96F59">
          <w:rPr>
            <w:sz w:val="24"/>
            <w:szCs w:val="24"/>
          </w:rPr>
          <w:t>locuzione</w:t>
        </w:r>
      </w:hyperlink>
      <w:r w:rsidRPr="00D96F59">
        <w:rPr>
          <w:sz w:val="24"/>
          <w:szCs w:val="24"/>
        </w:rPr>
        <w:t xml:space="preserve"> </w:t>
      </w:r>
      <w:hyperlink r:id="rId6" w:tooltip="Lingua latina" w:history="1">
        <w:r w:rsidRPr="00D96F59">
          <w:rPr>
            <w:sz w:val="24"/>
            <w:szCs w:val="24"/>
          </w:rPr>
          <w:t>latina</w:t>
        </w:r>
      </w:hyperlink>
      <w:r w:rsidRPr="00D96F59">
        <w:rPr>
          <w:sz w:val="24"/>
          <w:szCs w:val="24"/>
        </w:rPr>
        <w:t xml:space="preserve"> </w:t>
      </w:r>
      <w:r w:rsidRPr="00D96F59">
        <w:rPr>
          <w:b/>
          <w:sz w:val="24"/>
          <w:szCs w:val="24"/>
        </w:rPr>
        <w:t>ne bis in idem</w:t>
      </w:r>
      <w:r w:rsidRPr="00D96F59">
        <w:rPr>
          <w:sz w:val="24"/>
          <w:szCs w:val="24"/>
        </w:rPr>
        <w:t>, tradotta letteralmente, significa "non due volte per la medesima cosa".</w:t>
      </w:r>
    </w:p>
    <w:p w:rsidR="00D96F59" w:rsidRPr="00D96F59" w:rsidRDefault="00D96F59" w:rsidP="00D96F59">
      <w:pPr>
        <w:rPr>
          <w:sz w:val="24"/>
          <w:szCs w:val="24"/>
        </w:rPr>
      </w:pPr>
      <w:r w:rsidRPr="00D96F59">
        <w:rPr>
          <w:sz w:val="24"/>
          <w:szCs w:val="24"/>
        </w:rPr>
        <w:t>Si tratta di un</w:t>
      </w:r>
      <w:r>
        <w:rPr>
          <w:sz w:val="24"/>
          <w:szCs w:val="24"/>
        </w:rPr>
        <w:t>a</w:t>
      </w:r>
      <w:r w:rsidRPr="00D96F59">
        <w:rPr>
          <w:sz w:val="24"/>
          <w:szCs w:val="24"/>
        </w:rPr>
        <w:t xml:space="preserve"> </w:t>
      </w:r>
      <w:hyperlink r:id="rId7" w:tooltip="Brocardo" w:history="1">
        <w:r>
          <w:rPr>
            <w:sz w:val="24"/>
            <w:szCs w:val="24"/>
          </w:rPr>
          <w:t>massima</w:t>
        </w:r>
      </w:hyperlink>
      <w:r w:rsidRPr="00D96F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giuridica </w:t>
      </w:r>
      <w:r w:rsidRPr="00D96F59">
        <w:rPr>
          <w:sz w:val="24"/>
          <w:szCs w:val="24"/>
        </w:rPr>
        <w:t xml:space="preserve">che esprime un </w:t>
      </w:r>
      <w:hyperlink r:id="rId8" w:tooltip="Principi generali" w:history="1">
        <w:r w:rsidRPr="00D96F59">
          <w:rPr>
            <w:sz w:val="24"/>
            <w:szCs w:val="24"/>
          </w:rPr>
          <w:t>principio del diritto</w:t>
        </w:r>
      </w:hyperlink>
      <w:r w:rsidRPr="00D96F59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presente nella generalità degli </w:t>
      </w:r>
      <w:r w:rsidRPr="00D96F59">
        <w:rPr>
          <w:sz w:val="24"/>
          <w:szCs w:val="24"/>
        </w:rPr>
        <w:t xml:space="preserve">ordinamenti, in forza del quale un giudice non può esprimersi due volte sulla stessa </w:t>
      </w:r>
      <w:hyperlink r:id="rId9" w:tooltip="Azione (diritto)" w:history="1">
        <w:r w:rsidRPr="00D96F59">
          <w:rPr>
            <w:sz w:val="24"/>
            <w:szCs w:val="24"/>
          </w:rPr>
          <w:t>azione</w:t>
        </w:r>
      </w:hyperlink>
      <w:r w:rsidRPr="00D96F59">
        <w:rPr>
          <w:sz w:val="24"/>
          <w:szCs w:val="24"/>
        </w:rPr>
        <w:t xml:space="preserve">, se si è già formata la </w:t>
      </w:r>
      <w:hyperlink r:id="rId10" w:tooltip="Cosa giudicata" w:history="1">
        <w:r w:rsidRPr="00D96F59">
          <w:rPr>
            <w:sz w:val="24"/>
            <w:szCs w:val="24"/>
          </w:rPr>
          <w:t>cosa giudicata</w:t>
        </w:r>
      </w:hyperlink>
      <w:r w:rsidRPr="00D96F59">
        <w:rPr>
          <w:sz w:val="24"/>
          <w:szCs w:val="24"/>
        </w:rPr>
        <w:t xml:space="preserve">. In campo penale comporta che un accusato non può essere giudicato due volte per lo stesso </w:t>
      </w:r>
      <w:hyperlink r:id="rId11" w:tooltip="Reato" w:history="1">
        <w:r w:rsidRPr="00D96F59">
          <w:rPr>
            <w:sz w:val="24"/>
            <w:szCs w:val="24"/>
          </w:rPr>
          <w:t>reato</w:t>
        </w:r>
      </w:hyperlink>
      <w:r w:rsidRPr="00D96F59">
        <w:rPr>
          <w:sz w:val="24"/>
          <w:szCs w:val="24"/>
        </w:rPr>
        <w:t>.</w:t>
      </w:r>
    </w:p>
    <w:p w:rsidR="0002794A" w:rsidRDefault="0002794A" w:rsidP="0002794A">
      <w:pPr>
        <w:rPr>
          <w:sz w:val="24"/>
          <w:szCs w:val="24"/>
        </w:rPr>
      </w:pPr>
      <w:r w:rsidRPr="0002794A">
        <w:rPr>
          <w:sz w:val="24"/>
          <w:szCs w:val="24"/>
        </w:rPr>
        <w:t>I regolamenti comunali non possono sovrapporsi alle normative regionali, e questo perché ai sensi dell’a</w:t>
      </w:r>
      <w:r>
        <w:rPr>
          <w:sz w:val="24"/>
          <w:szCs w:val="24"/>
        </w:rPr>
        <w:t>r</w:t>
      </w:r>
      <w:r w:rsidRPr="0002794A">
        <w:rPr>
          <w:sz w:val="24"/>
          <w:szCs w:val="24"/>
        </w:rPr>
        <w:t xml:space="preserve">t. 1 </w:t>
      </w:r>
      <w:proofErr w:type="spellStart"/>
      <w:r w:rsidRPr="0002794A">
        <w:rPr>
          <w:sz w:val="24"/>
          <w:szCs w:val="24"/>
        </w:rPr>
        <w:t>Preleggi</w:t>
      </w:r>
      <w:proofErr w:type="spellEnd"/>
      <w:r w:rsidRPr="0002794A">
        <w:rPr>
          <w:sz w:val="24"/>
          <w:szCs w:val="24"/>
        </w:rPr>
        <w:t xml:space="preserve"> (ossia le norme fondamentali del ns</w:t>
      </w:r>
      <w:r>
        <w:rPr>
          <w:sz w:val="24"/>
          <w:szCs w:val="24"/>
        </w:rPr>
        <w:t>.</w:t>
      </w:r>
      <w:r w:rsidRPr="0002794A">
        <w:rPr>
          <w:sz w:val="24"/>
          <w:szCs w:val="24"/>
        </w:rPr>
        <w:t xml:space="preserve"> ordinamento giuridico premesse al testo del Codice Civile) nella gerarchia delle fonti del diritto i regolamenti vengono dopo le leggi.</w:t>
      </w:r>
    </w:p>
    <w:p w:rsidR="009125B5" w:rsidRDefault="009125B5" w:rsidP="0002794A">
      <w:pPr>
        <w:rPr>
          <w:sz w:val="24"/>
          <w:szCs w:val="24"/>
        </w:rPr>
      </w:pPr>
    </w:p>
    <w:p w:rsidR="009125B5" w:rsidRDefault="009125B5" w:rsidP="0002794A">
      <w:pPr>
        <w:rPr>
          <w:sz w:val="24"/>
          <w:szCs w:val="24"/>
        </w:rPr>
      </w:pPr>
      <w:r w:rsidRPr="009125B5">
        <w:rPr>
          <w:sz w:val="24"/>
          <w:szCs w:val="24"/>
        </w:rPr>
        <w:t>Il codice di procedura penale, all'art.</w:t>
      </w:r>
      <w:r>
        <w:rPr>
          <w:sz w:val="24"/>
          <w:szCs w:val="24"/>
        </w:rPr>
        <w:t xml:space="preserve"> </w:t>
      </w:r>
      <w:r w:rsidRPr="009125B5">
        <w:rPr>
          <w:sz w:val="24"/>
          <w:szCs w:val="24"/>
        </w:rPr>
        <w:t>649, stabilisce che nessuno può essere processato più volte «per il medesimo fatto».</w:t>
      </w:r>
    </w:p>
    <w:p w:rsidR="009125B5" w:rsidRDefault="009125B5" w:rsidP="009125B5">
      <w:pPr>
        <w:pStyle w:val="NormaleWeb"/>
        <w:jc w:val="both"/>
      </w:pPr>
      <w:bookmarkStart w:id="0" w:name="_Toc440264091"/>
      <w:r>
        <w:rPr>
          <w:rFonts w:ascii="Verdana" w:hAnsi="Verdana"/>
          <w:b/>
          <w:bCs/>
          <w:sz w:val="15"/>
          <w:szCs w:val="15"/>
        </w:rPr>
        <w:t>649 Divieto di un secondo giudizio</w:t>
      </w:r>
      <w:bookmarkEnd w:id="0"/>
    </w:p>
    <w:p w:rsidR="009125B5" w:rsidRDefault="009125B5" w:rsidP="009125B5">
      <w:pPr>
        <w:pStyle w:val="NormaleWeb"/>
        <w:jc w:val="both"/>
      </w:pPr>
      <w:r>
        <w:rPr>
          <w:rFonts w:ascii="Verdana" w:hAnsi="Verdana"/>
          <w:sz w:val="15"/>
          <w:szCs w:val="15"/>
        </w:rPr>
        <w:t>1. L`imputato prosciolto o condannato con sentenza o decreto penale divenuti irrevocabili (648) non può essere di nuovo sottoposto a procedimento penale per il medesimo fatto, neppure se questo viene diversamente considerato per il titolo, per il grado o per le circostanze, salvo quanto disposto dagli artt. 69 comma 2 e 345.</w:t>
      </w:r>
    </w:p>
    <w:p w:rsidR="009125B5" w:rsidRDefault="009125B5" w:rsidP="009125B5">
      <w:pPr>
        <w:pStyle w:val="NormaleWeb"/>
        <w:jc w:val="both"/>
      </w:pPr>
      <w:r>
        <w:rPr>
          <w:rFonts w:ascii="Verdana" w:hAnsi="Verdana"/>
          <w:sz w:val="15"/>
          <w:szCs w:val="15"/>
        </w:rPr>
        <w:t>2. Se ciò nonostante viene di nuovo iniziato procedimento penale, il giudice in ogni stato e grado del processo pronuncia sentenza di proscioglimento (529-531) o di non luogo a procedere (425), enunciandone la causa nel dispositivo.</w:t>
      </w:r>
    </w:p>
    <w:p w:rsidR="009125B5" w:rsidRDefault="009125B5" w:rsidP="0002794A">
      <w:pPr>
        <w:rPr>
          <w:sz w:val="24"/>
          <w:szCs w:val="24"/>
        </w:rPr>
      </w:pPr>
    </w:p>
    <w:p w:rsidR="009125B5" w:rsidRPr="0002794A" w:rsidRDefault="009125B5" w:rsidP="0002794A">
      <w:pPr>
        <w:rPr>
          <w:sz w:val="24"/>
          <w:szCs w:val="24"/>
        </w:rPr>
      </w:pPr>
      <w:r w:rsidRPr="009125B5">
        <w:rPr>
          <w:sz w:val="24"/>
          <w:szCs w:val="24"/>
        </w:rPr>
        <w:t xml:space="preserve">Il </w:t>
      </w:r>
      <w:r w:rsidRPr="009125B5">
        <w:rPr>
          <w:b/>
          <w:sz w:val="24"/>
          <w:szCs w:val="24"/>
        </w:rPr>
        <w:t>ne bis in idem</w:t>
      </w:r>
      <w:r w:rsidRPr="009125B5">
        <w:rPr>
          <w:sz w:val="24"/>
          <w:szCs w:val="24"/>
        </w:rPr>
        <w:t xml:space="preserve"> è derogato da due norme processuali penali: l'art. 692, il quale stabilisce che morto il reo si estingue il processo, ma se la dichiarazione di morte risulti poi erronea o falsa, può instaurarsi un secondo processo; l'art.</w:t>
      </w:r>
      <w:r>
        <w:rPr>
          <w:sz w:val="24"/>
          <w:szCs w:val="24"/>
        </w:rPr>
        <w:t xml:space="preserve"> </w:t>
      </w:r>
      <w:r w:rsidRPr="009125B5">
        <w:rPr>
          <w:sz w:val="24"/>
          <w:szCs w:val="24"/>
        </w:rPr>
        <w:t>345, che riguarda i processi posti a condizione di un evento.</w:t>
      </w:r>
    </w:p>
    <w:sectPr w:rsidR="009125B5" w:rsidRPr="0002794A" w:rsidSect="0002794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B4C44"/>
    <w:multiLevelType w:val="hybridMultilevel"/>
    <w:tmpl w:val="C450BFFE"/>
    <w:lvl w:ilvl="0" w:tplc="AD56404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02794A"/>
    <w:rsid w:val="0002794A"/>
    <w:rsid w:val="001F6D6D"/>
    <w:rsid w:val="0024303F"/>
    <w:rsid w:val="005519F3"/>
    <w:rsid w:val="009125B5"/>
    <w:rsid w:val="00BE626D"/>
    <w:rsid w:val="00D96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F6D6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02794A"/>
    <w:pPr>
      <w:spacing w:after="0" w:line="240" w:lineRule="auto"/>
    </w:pPr>
    <w:rPr>
      <w:rFonts w:ascii="Consolas" w:eastAsia="Times New Roman" w:hAnsi="Consolas" w:cs="Times New Roman"/>
      <w:sz w:val="21"/>
      <w:szCs w:val="21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02794A"/>
    <w:rPr>
      <w:rFonts w:ascii="Consolas" w:eastAsia="Times New Roman" w:hAnsi="Consolas" w:cs="Times New Roman"/>
      <w:sz w:val="21"/>
      <w:szCs w:val="21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D96F59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D96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1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9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33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5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8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7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7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577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1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t.wikipedia.org/wiki/Principi_generali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it.wikipedia.org/wiki/Brocard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t.wikipedia.org/wiki/Lingua_latina" TargetMode="External"/><Relationship Id="rId11" Type="http://schemas.openxmlformats.org/officeDocument/2006/relationships/hyperlink" Target="http://it.wikipedia.org/wiki/Reato" TargetMode="External"/><Relationship Id="rId5" Type="http://schemas.openxmlformats.org/officeDocument/2006/relationships/hyperlink" Target="http://it.wikipedia.org/wiki/Locuzioni_latine" TargetMode="External"/><Relationship Id="rId10" Type="http://schemas.openxmlformats.org/officeDocument/2006/relationships/hyperlink" Target="http://it.wikipedia.org/wiki/Cosa_giudica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t.wikipedia.org/wiki/Azione_(diritto)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OIPA</Company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 Pradella</dc:creator>
  <cp:lastModifiedBy>Max Pradella</cp:lastModifiedBy>
  <cp:revision>3</cp:revision>
  <dcterms:created xsi:type="dcterms:W3CDTF">2008-12-12T14:52:00Z</dcterms:created>
  <dcterms:modified xsi:type="dcterms:W3CDTF">2008-12-12T15:20:00Z</dcterms:modified>
</cp:coreProperties>
</file>